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21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8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sz w:val="28"/>
          <w:szCs w:val="28"/>
          <w:lang w:val="ru-RU"/>
        </w:rPr>
        <w:t>____________</w:t>
      </w:r>
      <w:r w:rsidRPr="009E76FF">
        <w:rPr>
          <w:rFonts w:ascii="Times New Roman" w:hAnsi="Times New Roman"/>
          <w:sz w:val="24"/>
          <w:szCs w:val="24"/>
          <w:lang w:val="ru-RU"/>
        </w:rPr>
        <w:tab/>
      </w:r>
      <w:r w:rsidRPr="009E76FF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9E76FF" w:rsidRPr="009E76FF" w:rsidRDefault="009E76FF" w:rsidP="009E76FF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9E76FF">
        <w:rPr>
          <w:rFonts w:ascii="Times New Roman" w:hAnsi="Times New Roman"/>
          <w:sz w:val="15"/>
          <w:szCs w:val="15"/>
          <w:lang w:val="ru-RU"/>
        </w:rPr>
        <w:t>подпись</w:t>
      </w:r>
      <w:r w:rsidRPr="009E76FF">
        <w:rPr>
          <w:rFonts w:ascii="Times New Roman" w:hAnsi="Times New Roman"/>
          <w:sz w:val="24"/>
          <w:szCs w:val="24"/>
          <w:lang w:val="ru-RU"/>
        </w:rPr>
        <w:tab/>
      </w:r>
      <w:r w:rsidRPr="009E76FF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E76FF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9E76FF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306" w:lineRule="auto"/>
        <w:ind w:left="960" w:right="60" w:hanging="89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1"/>
          <w:szCs w:val="31"/>
          <w:lang w:val="ru-RU"/>
        </w:rPr>
        <w:t>Инструкция по сбору, хр</w:t>
      </w:r>
      <w:r>
        <w:rPr>
          <w:rFonts w:ascii="Times New Roman" w:hAnsi="Times New Roman"/>
          <w:b/>
          <w:bCs/>
          <w:sz w:val="31"/>
          <w:szCs w:val="31"/>
          <w:lang w:val="ru-RU"/>
        </w:rPr>
        <w:t>анению, учёту и сдаче на перера</w:t>
      </w:r>
      <w:r w:rsidRPr="007227D0">
        <w:rPr>
          <w:rFonts w:ascii="Times New Roman" w:hAnsi="Times New Roman"/>
          <w:b/>
          <w:bCs/>
          <w:sz w:val="31"/>
          <w:szCs w:val="31"/>
          <w:lang w:val="ru-RU"/>
        </w:rPr>
        <w:t>ботку отработанных аккумуляторных батарей.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39" w:lineRule="auto"/>
        <w:ind w:left="3860" w:hanging="37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Общие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положения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Отходы </w:t>
      </w:r>
      <w:proofErr w:type="gramStart"/>
      <w:r w:rsidRPr="007227D0">
        <w:rPr>
          <w:rFonts w:ascii="Times New Roman" w:hAnsi="Times New Roman"/>
          <w:b/>
          <w:bCs/>
          <w:i/>
          <w:iCs/>
          <w:sz w:val="24"/>
          <w:szCs w:val="24"/>
        </w:rPr>
        <w:t>II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 класса</w:t>
      </w:r>
      <w:proofErr w:type="gramEnd"/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опасности (высоко опасные)- </w:t>
      </w:r>
      <w:r w:rsidRPr="007227D0">
        <w:rPr>
          <w:rFonts w:ascii="Times New Roman" w:hAnsi="Times New Roman"/>
          <w:sz w:val="24"/>
          <w:szCs w:val="24"/>
          <w:lang w:val="ru-RU"/>
        </w:rPr>
        <w:t>отработанные аккумулятор-</w:t>
      </w:r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ные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батареи с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неслитым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электролитом – подлежат сбору, хранению, учёту и сдаче на переработку.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26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Отработанная аккумуляторная батарея (АКБ) </w:t>
      </w:r>
      <w:r w:rsidRPr="007227D0">
        <w:rPr>
          <w:rFonts w:ascii="Times New Roman" w:hAnsi="Times New Roman"/>
          <w:sz w:val="24"/>
          <w:szCs w:val="24"/>
          <w:lang w:val="ru-RU"/>
        </w:rPr>
        <w:t xml:space="preserve">– аккумуляторная батарея,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ко-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торая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не может быть использована по своему прямому назначению и должна быть утили-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зирована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192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Серная кислота, которая находиться в отработанном аккумуляторе, опасна для окружающей среды кислотным отравлением. Загрязнение кислотой и свинцом (который тоже содержится в отработанных аккумуляторах)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малопоправимы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и оказывают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негатив-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ное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воздействие не только на окружающую среду, но и на организм человека – свинцовое отравление (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перевозбудимость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, быстрая утомляемость организма).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Условия хранения отработанных аккумуляторных батарей.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8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Сбор отработанных АКБ осуществляется на месте их образования. Сбор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осуще-ствляется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раздельно от других отходов производства и потребления.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При сборе отработанных АКБ следует соблюдать условие герметичности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акку-мулятора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, во избежание вытекания электролита (следить за тем чтобы все пробки были плотно закрыты и затянуты).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Отработанные АКБ не должны подвергаться механическому воздействию. </w:t>
      </w: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542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Отработанные АКБ должны храниться в специально предназначенном для этого помещении. </w:t>
      </w:r>
      <w:proofErr w:type="spellStart"/>
      <w:r w:rsidRPr="007227D0">
        <w:rPr>
          <w:rFonts w:ascii="Times New Roman" w:hAnsi="Times New Roman"/>
          <w:sz w:val="19"/>
          <w:szCs w:val="19"/>
        </w:rPr>
        <w:t>Помещение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должно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быть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удалено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от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административно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– </w:t>
      </w:r>
      <w:proofErr w:type="spellStart"/>
      <w:r w:rsidRPr="007227D0">
        <w:rPr>
          <w:rFonts w:ascii="Times New Roman" w:hAnsi="Times New Roman"/>
          <w:sz w:val="19"/>
          <w:szCs w:val="19"/>
        </w:rPr>
        <w:t>бытовых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зданий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Отработанные АКБ, как отходы </w:t>
      </w:r>
      <w:r w:rsidRPr="007227D0">
        <w:rPr>
          <w:rFonts w:ascii="Times New Roman" w:hAnsi="Times New Roman"/>
          <w:sz w:val="21"/>
          <w:szCs w:val="21"/>
        </w:rPr>
        <w:t>II</w:t>
      </w:r>
      <w:r w:rsidRPr="007227D0">
        <w:rPr>
          <w:rFonts w:ascii="Times New Roman" w:hAnsi="Times New Roman"/>
          <w:sz w:val="21"/>
          <w:szCs w:val="21"/>
          <w:lang w:val="ru-RU"/>
        </w:rPr>
        <w:t xml:space="preserve"> класса опасности хранятся в закрытой таре (мет. бочка, мет. контейнер, дер. коробка и др.), которая должна стоять на специальном поддоне, исключающем пролитие электролита (края поддона не меньше 5 см).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5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В помещении, предназначенном для хранения отработанных АКБ, пол должен быть сделан из материала устойчивого в отношении химического воздействия, и не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допус-кать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сорбцию вредных веществ (кислотоустойчив).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jc w:val="both"/>
        <w:rPr>
          <w:rFonts w:ascii="Times New Roman" w:hAnsi="Times New Roman"/>
          <w:sz w:val="24"/>
          <w:szCs w:val="24"/>
        </w:rPr>
      </w:pPr>
      <w:bookmarkStart w:id="0" w:name="page117"/>
      <w:bookmarkEnd w:id="0"/>
      <w:r w:rsidRPr="007227D0">
        <w:rPr>
          <w:rFonts w:ascii="Times New Roman" w:hAnsi="Times New Roman"/>
          <w:sz w:val="24"/>
          <w:szCs w:val="24"/>
        </w:rPr>
        <w:t>59</w:t>
      </w:r>
    </w:p>
    <w:p w:rsidR="009E76FF" w:rsidRPr="009E76FF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04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Помещение, предназначенное для хранения отработанных АКБ должно иметь возможность проветриваться. </w:t>
      </w:r>
      <w:r w:rsidRPr="009E76FF">
        <w:rPr>
          <w:rFonts w:ascii="Times New Roman" w:hAnsi="Times New Roman"/>
          <w:sz w:val="24"/>
          <w:szCs w:val="24"/>
          <w:lang w:val="ru-RU"/>
        </w:rPr>
        <w:t xml:space="preserve">Должна быть предусмотрена система приточно- вытяжной вентиляции. </w:t>
      </w:r>
    </w:p>
    <w:p w:rsidR="009E76FF" w:rsidRPr="009E76FF" w:rsidRDefault="009E76FF" w:rsidP="009E76F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Исключить попадание воды и посторонних предметов в тару и помещение,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пред-назначенное</w:t>
      </w:r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для хранения отработанных АКБ.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189" w:lineRule="auto"/>
        <w:ind w:left="0" w:firstLine="54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Слив электролита с отработанного АКБ производить только на поддоне, для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ис-ключения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возможности его пролива и загрязнения ОС.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Для ликвидации возможной аварийной ситуации, связанной с проливом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элек-тролита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>, в помещении, предназначенном для хранения необходимо предусмотреть на-</w:t>
      </w:r>
      <w:proofErr w:type="spellStart"/>
      <w:r w:rsidRPr="007227D0">
        <w:rPr>
          <w:rFonts w:ascii="Times New Roman" w:hAnsi="Times New Roman"/>
          <w:sz w:val="21"/>
          <w:szCs w:val="21"/>
          <w:lang w:val="ru-RU"/>
        </w:rPr>
        <w:t>личие</w:t>
      </w:r>
      <w:proofErr w:type="spellEnd"/>
      <w:r w:rsidRPr="007227D0">
        <w:rPr>
          <w:rFonts w:ascii="Times New Roman" w:hAnsi="Times New Roman"/>
          <w:sz w:val="21"/>
          <w:szCs w:val="21"/>
          <w:lang w:val="ru-RU"/>
        </w:rPr>
        <w:t xml:space="preserve"> необходимого количества извести, соды, воды для нейтрализации.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6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В случае розлива электролита, пролитый электролит следует засыпать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опилка-ми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, затем опилки собрать и удалить из помещения. Места, где был разлит электролит, нейтрализовать раствором кальцинированной соды, затем промыть водой и досуха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вы-тереть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тряпкой. Все работы производить в перчатках. Перед удалением электролита в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ка-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нализацию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его следует нейтрализовать раствором кальцинированной соды.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2" w:lineRule="auto"/>
        <w:ind w:left="1100" w:hanging="55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b/>
          <w:bCs/>
          <w:sz w:val="20"/>
          <w:szCs w:val="20"/>
          <w:lang w:val="ru-RU"/>
        </w:rPr>
        <w:t xml:space="preserve">ЗАПРЕЩАЕТСЯ: </w:t>
      </w:r>
      <w:r w:rsidRPr="007227D0">
        <w:rPr>
          <w:rFonts w:ascii="Times New Roman" w:hAnsi="Times New Roman"/>
          <w:sz w:val="20"/>
          <w:szCs w:val="20"/>
          <w:lang w:val="ru-RU"/>
        </w:rPr>
        <w:t>Хранение в местах, к к</w:t>
      </w:r>
      <w:r>
        <w:rPr>
          <w:rFonts w:ascii="Times New Roman" w:hAnsi="Times New Roman"/>
          <w:sz w:val="20"/>
          <w:szCs w:val="20"/>
          <w:lang w:val="ru-RU"/>
        </w:rPr>
        <w:t xml:space="preserve">оторым имеют доступ дети;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Хране</w:t>
      </w:r>
      <w:r w:rsidRPr="007227D0">
        <w:rPr>
          <w:rFonts w:ascii="Times New Roman" w:hAnsi="Times New Roman"/>
          <w:sz w:val="24"/>
          <w:szCs w:val="24"/>
          <w:lang w:val="ru-RU"/>
        </w:rPr>
        <w:t xml:space="preserve">ние на грунтовой поверхности и под открытым небом; Хранение вместе с другими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отхода-ми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>;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2020"/>
        </w:tabs>
        <w:overflowPunct w:val="0"/>
        <w:autoSpaceDE w:val="0"/>
        <w:autoSpaceDN w:val="0"/>
        <w:adjustRightInd w:val="0"/>
        <w:spacing w:after="0" w:line="239" w:lineRule="auto"/>
        <w:ind w:left="20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Учёт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отработанных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аккумуляторных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>батарей</w:t>
      </w:r>
      <w:proofErr w:type="spellEnd"/>
      <w:r w:rsidRPr="007227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/>
          <w:sz w:val="24"/>
          <w:szCs w:val="24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24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Учёт наличия и движения отработанных АКБ организуется на всех предприятиях (организациях, учреждениях) независимо от форм собственности и ведомственной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при-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надлежности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Учёт ведётся в специальном журнале, где в обязательном порядке отмечается движение целых </w:t>
      </w:r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АКБ</w:t>
      </w:r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отработанных АКБ. Примерная форма журнала учёта движения АКБ и </w:t>
      </w:r>
      <w:proofErr w:type="spellStart"/>
      <w:r w:rsidRPr="007227D0">
        <w:rPr>
          <w:rFonts w:ascii="Times New Roman" w:hAnsi="Times New Roman"/>
          <w:sz w:val="21"/>
          <w:szCs w:val="21"/>
          <w:lang w:val="ru-RU"/>
        </w:rPr>
        <w:t>свинецсодержащих</w:t>
      </w:r>
      <w:proofErr w:type="spellEnd"/>
      <w:r w:rsidRPr="007227D0">
        <w:rPr>
          <w:rFonts w:ascii="Times New Roman" w:hAnsi="Times New Roman"/>
          <w:sz w:val="21"/>
          <w:szCs w:val="21"/>
          <w:lang w:val="ru-RU"/>
        </w:rPr>
        <w:t xml:space="preserve"> изделий на предприятии приведены в приложении № 3.1.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Страницы журнала должны быть пронумерованы, прошнурованы и скреплены. </w:t>
      </w:r>
    </w:p>
    <w:p w:rsidR="009E76FF" w:rsidRPr="007227D0" w:rsidRDefault="009E76FF" w:rsidP="009E76FF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14"/>
        </w:tabs>
        <w:overflowPunct w:val="0"/>
        <w:autoSpaceDE w:val="0"/>
        <w:autoSpaceDN w:val="0"/>
        <w:adjustRightInd w:val="0"/>
        <w:spacing w:after="0" w:line="206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Журнал учёта должен заполняться ответственным лицом (на промышленной базе, на участке строительства). Вносятся данные о поступивших целых и отработанных АКБ. Обязательно указывается марка АКБ, количество, дата приёмки и лицо которое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при-несло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АКБ.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4.  </w:t>
      </w:r>
      <w:r w:rsidRPr="007227D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Порядок сдачи и перевозки отработанных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3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i/>
          <w:iCs/>
          <w:sz w:val="27"/>
          <w:szCs w:val="27"/>
          <w:lang w:val="ru-RU"/>
        </w:rPr>
        <w:t>аккумуляторных батарей.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4.1. Отработанные АКБ сдаются на утилизацию в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4" w:lineRule="auto"/>
        <w:ind w:left="36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(организация, в которую передаются отходы)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96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по мере накопления, но не реже 1 раза за отчётный период.</w:t>
      </w:r>
    </w:p>
    <w:p w:rsidR="009E76FF" w:rsidRPr="007227D0" w:rsidRDefault="009E76FF" w:rsidP="009E76F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1" w:lineRule="auto"/>
        <w:ind w:left="960" w:hanging="41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Отработанные АКБ принимаются очищенными от грязи и мусора. </w:t>
      </w:r>
    </w:p>
    <w:p w:rsidR="009E76FF" w:rsidRPr="007227D0" w:rsidRDefault="009E76FF" w:rsidP="009E76F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</w:rPr>
      </w:pPr>
      <w:proofErr w:type="spellStart"/>
      <w:r w:rsidRPr="007227D0">
        <w:rPr>
          <w:rFonts w:ascii="Times New Roman" w:hAnsi="Times New Roman"/>
          <w:sz w:val="19"/>
          <w:szCs w:val="19"/>
        </w:rPr>
        <w:t>Перевозка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отработанных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АКБ </w:t>
      </w:r>
      <w:proofErr w:type="spellStart"/>
      <w:r w:rsidRPr="007227D0">
        <w:rPr>
          <w:rFonts w:ascii="Times New Roman" w:hAnsi="Times New Roman"/>
          <w:sz w:val="19"/>
          <w:szCs w:val="19"/>
        </w:rPr>
        <w:t>на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склад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3" w:lineRule="auto"/>
        <w:ind w:left="36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(организация, в которую передаются отходы)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97" w:lineRule="auto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производиться силами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4" w:lineRule="auto"/>
        <w:ind w:left="39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(организация, перевозчик отходов)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0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</w:rPr>
      </w:pPr>
      <w:bookmarkStart w:id="1" w:name="page119"/>
      <w:bookmarkEnd w:id="1"/>
    </w:p>
    <w:p w:rsidR="009E76FF" w:rsidRPr="007227D0" w:rsidRDefault="009E76FF" w:rsidP="009E76FF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187" w:lineRule="auto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При перевозке должны соблюдаться следующие требования: перевозка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осуще-ствляется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специальным транспортом; Загрузка отработанных АКБ в транспортное сред-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ство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выполняется бережно, бросать АКБ запрещается; Укладка осуществляется, таким об-разом, чтоб при движении транспортного средства отработанные АКБ не могли выпасть и разбиться;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189" w:lineRule="auto"/>
        <w:ind w:left="960" w:hanging="41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При сдаче отработанных АКБ нужно получить от </w:t>
      </w: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 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183" w:lineRule="auto"/>
        <w:ind w:left="36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(организация, в которую передаются отходы)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overflowPunct w:val="0"/>
        <w:autoSpaceDE w:val="0"/>
        <w:autoSpaceDN w:val="0"/>
        <w:adjustRightInd w:val="0"/>
        <w:spacing w:after="0" w:line="20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справку и акт выполненных работ, которые являются подтверждающими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документа-ми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для Комитета по охране окружающей среды и природных ресурсов. Все полученные документы передавать инженеру – экологу в отдел охраны труда не позднее 10 числа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ме-сяца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следующего за отчётным периодом.</w:t>
      </w: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36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9E76FF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w w:val="98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9E76FF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6FF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FF" w:rsidRPr="007227D0" w:rsidRDefault="009E76FF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9E76FF" w:rsidRPr="007227D0" w:rsidRDefault="009E76FF" w:rsidP="009E76F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C737F" w:rsidRDefault="007C737F"/>
    <w:sectPr w:rsidR="007C7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2A" w:rsidRDefault="00AF792A" w:rsidP="009E76FF">
      <w:pPr>
        <w:spacing w:after="0" w:line="240" w:lineRule="auto"/>
      </w:pPr>
      <w:r>
        <w:separator/>
      </w:r>
    </w:p>
  </w:endnote>
  <w:endnote w:type="continuationSeparator" w:id="0">
    <w:p w:rsidR="00AF792A" w:rsidRDefault="00AF792A" w:rsidP="009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FF" w:rsidRPr="009E76FF" w:rsidRDefault="009E76FF" w:rsidP="009E76FF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9E76FF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9E76FF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9E76FF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2A" w:rsidRDefault="00AF792A" w:rsidP="009E76FF">
      <w:pPr>
        <w:spacing w:after="0" w:line="240" w:lineRule="auto"/>
      </w:pPr>
      <w:r>
        <w:separator/>
      </w:r>
    </w:p>
  </w:footnote>
  <w:footnote w:type="continuationSeparator" w:id="0">
    <w:p w:rsidR="00AF792A" w:rsidRDefault="00AF792A" w:rsidP="009E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E9"/>
    <w:multiLevelType w:val="hybridMultilevel"/>
    <w:tmpl w:val="00005FA8"/>
    <w:lvl w:ilvl="0" w:tplc="00003F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A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0A5"/>
    <w:multiLevelType w:val="hybridMultilevel"/>
    <w:tmpl w:val="00001D11"/>
    <w:lvl w:ilvl="0" w:tplc="000025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C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68C"/>
    <w:multiLevelType w:val="hybridMultilevel"/>
    <w:tmpl w:val="000054D6"/>
    <w:lvl w:ilvl="0" w:tplc="00000EA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F0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9A"/>
    <w:multiLevelType w:val="hybridMultilevel"/>
    <w:tmpl w:val="00003295"/>
    <w:lvl w:ilvl="0" w:tplc="000000C1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A9B"/>
    <w:multiLevelType w:val="hybridMultilevel"/>
    <w:tmpl w:val="00000CE1"/>
    <w:lvl w:ilvl="0" w:tplc="00004F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7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86"/>
    <w:multiLevelType w:val="hybridMultilevel"/>
    <w:tmpl w:val="000046C2"/>
    <w:lvl w:ilvl="0" w:tplc="00002DB5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A54"/>
    <w:multiLevelType w:val="hybridMultilevel"/>
    <w:tmpl w:val="000050BF"/>
    <w:lvl w:ilvl="0" w:tplc="0000169A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F"/>
    <w:rsid w:val="007C737F"/>
    <w:rsid w:val="009E76FF"/>
    <w:rsid w:val="00A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241"/>
  <w15:chartTrackingRefBased/>
  <w15:docId w15:val="{EA5D1AA8-DECA-4223-8E6A-FB2B3CE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F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6FF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9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6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2017-01-16T09:22:00Z</dcterms:created>
  <dcterms:modified xsi:type="dcterms:W3CDTF">2017-01-16T09:24:00Z</dcterms:modified>
</cp:coreProperties>
</file>